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609. “儿童安全座椅，立法后的使用”——儿童安全座椅的知晓度与实际使用行为研究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研究对象：有12岁以下儿童的车主家庭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核心问题/变量：安全座椅强制规定知晓度、实际使用率、安装使用困难、价格与购买渠道、执法感知、替代（安全带/怀抱）观念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安全座椅强制规定知晓度、实际使用率（替代（安全带/怀抱）观念）之间存在可检验的关系，且受群体差异（年龄/收入/地区/身份）调节（待验证）；H2：安全座椅强制规定知晓度、实际使用率是影响替代（安全带/怀抱）观念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✅儿童安全座椅纳入相关法律（全国人大、道交法修订）；🔶使用率调查数据（须下载核验）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学校/幼儿园家长渠道问卷；获奖黑名单核对：近三年无安全座椅获奖题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✅儿童安全座椅纳入相关法律（全国人大、道交法修订）；🔶使用率调查数据（须下载核验）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