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691. “地铁早高峰，拥挤怎么办”——高峰限流措施接受度与通勤出行调整行为调查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研究对象：地铁通勤乘客（一线城市）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核心问题/变量：高峰拥挤体验强度、限流措施接受、出行调整（错峰/改线）、拥挤度信息需求、票价与服务评价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高峰拥挤体验强度、限流措施接受（票价与服务评价）之间存在可检验的关系，且受群体差异（年龄/收入/地区/身份）调节（待验证）；H2：高峰拥挤体验强度、限流措施接受是影响票价与服务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✅城市轨道交通运营规范（交通运输部）；🔶地铁客流数据（城市轨交协会须下载核验）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地铁乘客问卷+运营方访谈；获奖黑名单核对：近三年无地铁拥挤获奖题（区别于485朋友圈等媒体题）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✅城市轨道交通运营规范（交通运输部）；🔶地铁客流数据（城市轨交协会须下载核验）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