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750. “小区停车难，改造解困”——老旧小区停车改造需求与支付意愿研究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研究对象：老旧小区有车居民及业委会/物业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核心问题/变量：停车难程度、改造模式（立体车库/潮汐共享/收费）、车位费接受、邻里纠纷、改造满意度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停车难程度、改造模式（立体车库/潮汐共享/收费）（改造满意度）之间存在可检验的关系，且受群体差异（年龄/收入/地区/身份）调节（待验证）；H2：停车难程度、改造模式（立体车库/潮汐共享/收费）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🔶老旧小区停车改造政策（住建部）；🔶停车治理案例（须下载核验）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老旧小区问卷+街道访谈；获奖黑名单核对：近三年无小区停车获奖题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🔶老旧小区停车改造政策（住建部）；🔶停车治理案例（须下载核验）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