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757. “城市骑行道，慢行优先”——城市慢行系统使用行为与建设满意度研究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研究对象：日常骑行/步行的城市居民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核心问题/变量：慢行系统使用（通勤/休闲）、骑行道连续性与安全、与机动车冲突、步行友好度、绿道连接、建设满意度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慢行系统使用（通勤/休闲）、骑行道连续性与安全（建设满意度）之间存在可检验的关系，且受群体差异（年龄/收入/地区/身份）调节（待验证）；H2：慢行系统使用（通勤/休闲）、骑行道连续性与安全是影响建设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✅城市慢行系统规划政策（住建部）；🔶骑行道建设数据（须下载核验）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居民问卷+市政部门访谈；获奖黑名单核对：近三年无慢行系统获奖题（区别于694骑行通勤）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✅城市慢行系统规划政策（住建部）；🔶骑行道建设数据（须下载核验）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