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829. “文明养犬，城市共治”——城市养犬管理居民满意度与文明共治参与意愿研究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研究对象：养犬家庭、非养犬居民、社区管理方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核心问题/变量：犬证办理率、遛狗规范（牵绳/清理）执行、犬只伤人纠纷、社区公示与邻里矛盾、管理满意度、人犬矛盾治理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犬证办理率、遛狗规范（牵绳/清理）执行（人犬矛盾治理）之间存在可检验的关系，且受群体差异（年龄/收入/地区/身份）调节（待验证）；H2：犬证办理率、遛狗规范（牵绳/清理）执行是影响人犬矛盾治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🔶城市养犬管理条例（地方条例）；🔶犬只管理投诉数据（政务平台须下载核验）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社区问卷+城管/业委会访谈；获奖黑名单核对：近三年无文明养犬获奖题（区别于427宠物友好泛题）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🔶城市养犬管理条例（地方条例）；🔶犬只管理投诉数据（政务平台须下载核验）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