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865. “社区流浪猫屋，共治样本”——社区居民流浪猫救助参与意愿与共治支持度调查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研究对象：社区流浪猫救助站志愿者、居委会、居民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核心问题/变量：猫屋建设与投喂管理、经费（众筹/公益）、邻里分歧（卫生/噪声）、绝育放归配合、社区共治模式、成效评估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猫屋建设与投喂管理、经费（众筹/公益）（成效评估）之间存在可检验的关系，且受群体差异（年龄/收入/地区/身份）调节（待验证）；H2：猫屋建设与投喂管理、经费（众筹/公益）是影响成效评估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🔶社区猫屋实践报道（动物保护媒体须下载核验）；✅动物防疫法流浪动物条款（农业农村部）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志愿者社群问卷+社区访谈；获奖黑名单核对：近三年无流浪猫救助站获奖题（区别于830 TNR）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🔶社区猫屋实践报道（动物保护媒体须下载核验）；✅动物防疫法流浪动物条款（农业农村部）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