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888. “残疾人就业，政策帮扶”——残疾人就业需求与政策帮扶感知研究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研究对象：残疾人求职者、残疾人就业机构、用工单位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核心问题/变量：残疾人就业渠道（按比例就业/辅助性就业）、就业率与薪资、职业技能培训、用工单位顾虑（无障碍）、政策补贴感知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残疾人就业渠道（按比例就业/辅助性就业）、就业率与薪资（政策补贴感知）之间存在可检验的关系，且受群体差异（年龄/收入/地区/身份）调节（待验证）；H2：残疾人就业渠道（按比例就业/辅助性就业）、就业率与薪资是影响政策补贴感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✅残疾人就业条例与按比例就业政策（国务院、中国残联）；🔶残疾人就业数据（须下载核验）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残联渠道问卷+机构访谈；获奖黑名单核对：近三年无残疾人就业获奖题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✅残疾人就业条例与按比例就业政策（国务院、中国残联）；🔶残疾人就业数据（须下载核验）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