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999. “AED进校园，生命课堂”——校园AED配置需求与师生急救培训参与意愿调查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研究对象：配置AED的学校（师生）、教体部门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核心问题/变量：校园AED配置率、师生急救培训覆盖率、心肺复苏+AED实操能力、应急演练频次、经费与维护、教育部门推动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校园AED配置率、师生急救培训覆盖率（教育部门推动）之间存在可检验的关系，且受群体差异（年龄/收入/地区/身份）调节（待验证）；H2：校园AED配置率、师生急救培训覆盖率是影响教育部门推动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🔶校园AED配置政策（教育部、卫健委）；🔶校园急救设施数据（须下载核验）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学校问卷+红十字会/教体局访谈；获奖黑名单核对：近三年无校园AED获奖题（区别于649 AED配置泛题，聚焦校园）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🔶校园AED配置政策（教育部、卫健委）；🔶校园急救设施数据（须下载核验）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