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089. “银发邮轮，海上慢游”——银发群体邮轮、出境游消费研究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研究对象：60岁以上有旅游经历的老年人（含子女协同决策）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核心问题/变量：旅游偏好、适老需求（节奏/医疗/导服）、消费支出、满意度、复游意愿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H1：旅游偏好、适老需求（节奏/医疗/导服）显著影响复游意愿（待验证）；H2：不同人群（年龄/收入/城市等级）在上述关系中存在调节作用（待验证）。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✅国务院《关于发展银发经济增进老年人福祉的意见》（国办发〔2024〕1号，老年旅游列入重点）；✅银发消费持续扩容（商务部数据，🔶最新数字待核验）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旅行社老年团/社区渠道；与第二批银发AI伴形成"实体+数字"互补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✅国务院《关于发展银发经济增进老年人福祉的意见》（国办发〔2024〕1号，老年旅游列入重点）；✅银发消费持续扩容（商务部数据，🔶最新数字待核验）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