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1023. “老年防走失，定位守护”——老年人防走失（定位手环、挂牌）消费研究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研究对象：为认知障碍/高龄老人配置防走失设备的家庭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核心问题/变量：走失风险与经历、定位设备（手环/挂牌/鞋垫）购买与费用、老人佩戴接受度、慈善发放（防走失黄手环）参与、效果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走失风险与经历、定位设备（手环/挂牌/鞋垫）购买与费用（效果）之间存在可检验的关系，且受群体差异（年龄/收入/地区/身份）调节（待验证）；H2：走失风险与经历、定位设备（手环/挂牌/鞋垫）购买与费用是影响效果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🔶老年人关爱与认知症友好政策（民政部、卫健委）；🔶防走失定位产品报道（须下载核验）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社区/养老院问卷+设备厂商访谈；获奖黑名单核对：近三年无防走失定位获奖题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🔶老年人关爱与认知症友好政策（民政部、卫健委）；🔶防走失定位产品报道（须下载核验）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