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1035. “老友记，老年K歌局”——老年人KTV、娱乐社交（K歌局）消费研究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研究对象：定期组局K歌/卡拉OK的老年人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核心问题/变量：K歌局组织（老友/社区）、消费（下午场低价团购）、娱乐方式迭代（直播K歌）、身心健康作用、参与频次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K歌局组织（老友/社区）、消费（下午场低价团购）（参与频次）之间存在可检验的关系，且受群体差异（年龄/收入/地区/身份）调节（待验证）；H2：K歌局组织（老友/社区）、消费（下午场低价团购）是影响参与频次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🔶银发文化娱乐消费政策（文旅部、老龄办）；🔶老年KTV消费数据（须下载核验）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KTV门店问卷+老年社团访谈；获奖黑名单核对：近三年无老年K歌获奖题（区别于361节日仪式感泛题）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🔶银发文化娱乐消费政策（文旅部、老龄办）；🔶老年KTV消费数据（须下载核验）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