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1051. “记忆咖啡馆，认知症员工”——记忆咖啡馆（认知症友好就业）运营研究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研究阶段：early（早期：需求调查与市场机会挖掘）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确定行业：01_银发经济（选择理由：贴合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研究对象：记忆咖啡馆（认知症老人做咖啡师）的员工、家属与顾客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核心问题/变量：记忆咖啡馆模式（认知症友好就业）、老人工作价值感、家属支持与社会参与、顾客接纳（服务慢）、运营可持续性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记忆咖啡馆模式（认知症友好就业）、老人工作价值感（运营可持续性）之间存在可检验的关系，且受群体差异（年龄/收入/地区/身份）调节（待验证）；H2：记忆咖啡馆模式（认知症友好就业）、老人工作价值感是影响运营可持续性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🔶认知症友好与银发就业政策（卫健委、民政部）；🔶记忆咖啡馆案例报道（央媒须下载核验）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记忆咖啡馆问卷+公益机构访谈；获奖黑名单核对：近三年无记忆咖啡馆获奖题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🔶认知症友好与银发就业政策（卫健委、民政部）；🔶记忆咖啡馆案例报道（央媒须下载核验）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