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1054. “智能药盒，按时吃药”——智能药盒、服药提醒（家用）使用研究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研究对象：使用智能药盒（提醒/分装）的慢病老人及家属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核心问题/变量：漏服问题（多药老人）、智能药盒功能（闹钟/远程提醒/联网）、购买渠道与价格、家属远程监护、坚持用药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H1：漏服问题（多药老人）、智能药盒功能（闹钟/远程提醒/联网）显著影响坚持用药（待验证）；H2：不同人群（年龄/收入/城市等级）在上述关系中存在调节作用（待验证）。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🔶慢病用药管理规范（卫健委）；🔶智能药盒产品数据（行业报告须下载核验）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社区慢病老人问卷+产品厂商访谈；获奖黑名单核对：近三年无智能药盒获奖题（区别于995 AI养老监护，聚焦服药环节）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🔶慢病用药管理规范（卫健委）；🔶智能药盒产品数据（行业报告须下载核验）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