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1055. “银发发声课，唱响晚年”——老年人声乐、合唱培训消费研究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研究对象：报名老年声乐班/合唱团的老年人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核心问题/变量：声乐培训动机（圆梦/社交/防健忘）、培训班费用、合唱团演出、线上声乐课（短视频）、身心健康提升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声乐培训动机（圆梦/社交/防健忘）、培训班费用（身心健康提升）之间存在可检验的关系，且受群体差异（年龄/收入/地区/身份）调节（待验证）；H2：声乐培训动机（圆梦/社交/防健忘）、培训班费用是影响身心健康提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🔶老年教育政策（国务院老年教育发展规划）；🔶老年声乐培训数据（须下载核验）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老年大学/培训机构问卷+学员访谈；获奖黑名单核对：近三年无老年声乐获奖题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🔶老年教育政策（国务院老年教育发展规划）；🔶老年声乐培训数据（须下载核验）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