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1068. “卧床老人护理，居家难题”——失能老人居家护理（翻身、褥疮、鼻饲）服务研究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研究对象：居家照护失能/半失能老人的家庭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核心问题/变量：失能护理负担（照护者疲劳）、护理需求（翻身/洗澡/管路）、居家护理服务购买、费用与保险（长护险）、喘息服务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H1：失能护理负担（照护者疲劳）、护理需求（翻身/洗澡/管路）显著影响喘息服务（待验证）；H2：不同人群（年龄/收入/城市等级）在上述关系中存在调节作用（待验证）。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🔶长期护理保险试点与失能照护政策（国家医保局、民政部）；🔶失能老人数据（民政部须下载核验）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护理机构渠道+照护家庭问卷；获奖黑名单核对：近三年无失能护理获奖题（区别于121安宁疗护）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🔶长期护理保险试点与失能照护政策（国家医保局、民政部）；🔶失能老人数据（民政部须下载核验）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