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1069. “认知症友好餐厅，忘不了的服务”——认知症友好门店（餐厅、超市）试点研究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研究对象：认知障碍老人家庭、认知症友好门店员工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核心问题/变量：认知症友好服务（沟通/辨识/协助）、带老人外出就餐痛点、员工培训、友好空间改造、社会包容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认知症友好服务（沟通/辨识/协助）、带老人外出就餐痛点（社会包容）之间存在可检验的关系，且受群体差异（年龄/收入/地区/身份）调节（待验证）；H2：认知症友好服务（沟通/辨识/协助）、带老人外出就餐痛点是影响社会包容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🔶认知症关爱与友好社区政策（卫健委、民政部）；🔶认知症友好商业报道（须下载核验）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友好门店渠道+家属问卷；获奖黑名单核对：近三年无认知症友好门店获奖题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🔶认知症关爱与友好社区政策（卫健委、民政部）；🔶认知症友好商业报道（须下载核验）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