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106. “老年大学，一座难求”——银发教育消费需求与供给约束研究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研究对象：60岁以上老年人及子女（含老年大学在读/候补）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核心问题/变量：学习需求、抢课难度、学费接受、课程满意度、数字课程使用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H1：学习需求、抢课难度（数字课程使用）之间存在可检验的关系，且受群体差异（年龄/收入/地区/身份）调节（待验证）；H2：学习需求、抢课难度是影响数字课程使用的关键因素（待验证）。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🔶老年大学"一座难求"为社会热点（新华社等媒体多次报道"老年大学报名火爆"，需引原文）；✅《关于发展银发经济增进老年人福祉的意见》（国办发〔2024〕1号，老年教育列入重点）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老年大学/社区老年活动中心渠道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🔶老年大学"一座难求"为社会热点（新华社等媒体多次报道"老年大学报名火爆"，需引原文）；✅《关于发展银发经济增进老年人福祉的意见》（国办发〔2024〕1号，老年教育列入重点）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