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1089. “老有所为，银发返聘”——企事业单位退休返聘、银龄人才计划研究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研究对象：退休后返聘/再就业的银发人才与企业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核心问题/变量：返聘动机（价值感/收入）、银龄人才计划（专家返聘）、返聘待遇与权益（工伤/社保）、代际合作、企业用工需求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返聘动机（价值感/收入）、银龄人才计划（专家返聘）（企业用工需求）之间存在可检验的关系，且受群体差异（年龄/收入/地区/身份）调节（待验证）；H2：返聘动机（价值感/收入）、银龄人才计划（专家返聘）是影响企业用工需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🔶银发经济发展与人才开发政策（国务院、人社部）；🔶银龄行动数据（须下载核验）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银发人才问卷+企业HR访谈；获奖黑名单核对：近三年无银发返聘获奖题（区别于597银发再就业，聚焦返聘制度）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🔶银发经济发展与人才开发政策（国务院、人社部）；🔶银龄行动数据（须下载核验）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