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1090. “老房装电梯，老友记上楼”——老旧小区加梯后续（维护、使用、矛盾）研究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研究对象：加装电梯投用后的小区居民（高低层/老人）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核心问题/变量：电梯加装后使用率、维保费用分摊、高层老人出行改善、低层补偿落实、邻里关系变化、新矛盾（噪音）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电梯加装后使用率、维保费用分摊（新矛盾（噪音））之间存在可检验的关系，且受群体差异（年龄/收入/地区/身份）调节（待验证）；H2：电梯加装后使用率、维保费用分摊是影响新矛盾（噪音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🔶老旧小区加装电梯运维政策（住建部、地方条例）；🔶加梯运维案例（须下载核验）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加梯小区问卷+物业/业委会访谈；获奖黑名单核对：近三年无加梯后续获奖题（区别于913/953加梯工程，聚焦投用后期）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🔶老旧小区加装电梯运维政策（住建部、地方条例）；🔶加梯运维案例（须下载核验）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