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1147. “银发再学习，手机摄影班”——老年手机摄影（短视频）课程消费研究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研究对象：报老年手机摄影/短视频课的银发学员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核心问题/变量：手机摄影课内容（构图/剪辑/直播）、学习消费（课程费/器材）、短视频发布（抖音/视频号）、社交价值（被点赞）、学以致用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H1：手机摄影课内容（构图/剪辑/直播）、学习消费（课程费/器材）显著影响学以致用（待验证）；H2：不同人群（年龄/收入/城市等级）在上述关系中存在调节作用（待验证）。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🔶老年数字技能培训政策（中央网信办、老龄办）；🔶银发短视频创作者数据（平台报告须下载核验）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培训机构问卷+学员访谈；获奖黑名单核对：近三年无老年摄影课获奖题（区别于891数字素养，聚焦内容创作）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🔶老年数字技能培训政策（中央网信办、老龄办）；🔶银发短视频创作者数据（平台报告须下载核验）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