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1148. “体检上门服务，银发专属体检”——老年人上门体检（医护到家）消费研究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研究阶段：early（早期：需求调查与市场机会挖掘）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确定行业：01_银发经济（选择理由：贴合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研究对象：使用上门体检（医护到家）的老人及家属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核心问题/变量：上门体检需求（出行不便）、项目（基础/深度）、价格（千元级）、医护资质信任、结果解读、对比医院体检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H1：上门体检需求（出行不便）、项目（基础/深度）显著影响对比医院体检（待验证）；H2：不同人群（年龄/收入/城市等级）在上述关系中存在调节作用（待验证）。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🔶上门医疗服务规范（卫健委）；🔶上门体检市场数据（须下载核验）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上门体检机构问卷+客户访谈；获奖黑名单核对：近三年无上门体检获奖题（区别于697上门体检泛题，聚焦银发专属）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🔶上门医疗服务规范（卫健委）；🔶上门体检市场数据（须下载核验）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