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122. “适老家电，居家焕新”——适老化智能家居产品购买意愿与国补政策效应研究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建议地区：北京（可按省/市细化抽样框）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研究对象：家有 60+ 老人的中青年及老人本人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核心问题/变量：适老化家电品类认知（智能马桶/防跌倒雷达/紧急呼叫）、购买障碍、国补知晓、购买意愿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H1：适老化家电品类认知（智能马桶/防跌倒雷达/紧急呼叫）、购买障碍显著影响购买意愿（待验证）；H2：不同人群（年龄/收入/城市等级）在上述关系中存在调节作用（待验证）。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✅适老化智能家居2026年预计662亿元（2024年547亿，中商）；✅2026年6月北京将智能家居及适老化产品纳入以旧换新补贴、江苏/黑龙江适老化厨电15%补贴；✅全国每年超4000万老年人跌倒、近半数在家（行业数据）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家电卖场适老专区/社区居家养老站点；与第三批61以旧换新联动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✅适老化智能家居2026年预计662亿元（2024年547亿，中商）；✅2026年6月北京将智能家居及适老化产品纳入以旧换新补贴、江苏/黑龙江适老化厨电15%补贴；✅全国每年超4000万老年人跌倒、近半数在家（行业数据）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