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124. “银发血压计，健康看得见”——适老化家用医疗器械消费需求研究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研究对象：患慢性病（高血压/糖尿病等）的 60+ 老人或照护家属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核心问题/变量：设备使用痛点（字号小/操作难）、功能期望（语音提示/远程互联）、购买决策、满意度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H1：设备使用痛点（字号小/操作难）、功能期望（语音提示/远程互联）显著影响满意度（待验证）；H2：不同人群（年龄/收入/城市等级）在上述关系中存在调节作用（待验证）。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✅适老化家用医疗器械2026年预计突破3000亿元、年复合增速15%+（镇杰医博会引行业研究）；✅适老化设计（大字体/语音/一键/远程）成产品竞争力核心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社区健康中心/药店/慢病管理社群渠道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✅适老化家用医疗器械2026年预计突破3000亿元、年复合增速15%+（镇杰医博会引行业研究）；✅适老化设计（大字体/语音/一键/远程）成产品竞争力核心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