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013. “适老空间，安心出行”——老年人公共场所无障碍与适老化服务满意度研究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研究阶段：mature（成熟期：满意度与优化研究）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确定行业：01_银发经济（选择理由：贴合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研究对象：60 岁以上老年人和陪同家属。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核心问题/变量：无障碍设施、标识系统、休息空间、卫生间、工作人员服务、总体满意度。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H1：无障碍设施、标识系统（总体满意度。）之间存在可检验的关系，且受群体差异（年龄/收入/地区/身份）调节（待验证）；H2：无障碍设施、标识系统是影响总体满意度。的关键因素（待验证）。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S4，国家残疾预防行动计划及适老化公共服务政策；S6，银发经济报告。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选择商场、医院、车站或景区开展现场调查。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S4，国家残疾预防行动计划及适老化公共服务政策；S6，银发经济报告。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