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014. “银龄情绪，陪伴消费”——老年人情绪服务与兴趣社群消费需求调查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研究对象：独居老人、空巢老人和老年兴趣社群成员。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核心问题/变量：孤独感、社交需求、兴趣活动、陪伴服务、付费意愿、子女支持。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H1：孤独感、社交需求显著影响子女支持。（待验证）；H2：不同人群（年龄/收入/城市等级）在上述关系中存在调节作用（待验证）。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S6，AgeClub《银发情绪消费 2026》及银发经济分析报告。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老年大学、社区活动中心和兴趣社团取样。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S6，AgeClub《银发情绪消费 2026》及银发经济分析报告。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