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015. “智慧养老，子女放心”——子女对家庭智能养老服务的购买意愿研究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研究对象：30—55 岁、有老人照护责任的子女。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核心问题/变量：照护压力、远程监护需求、服务信任、数据隐私、支付意愿。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H1：照护压力、远程监护需求显著影响支付意愿。（待验证）；H2：不同人群（年龄/收入/城市等级）在上述关系中存在调节作用（待验证）。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S6，银发经济报告；S4，康复护理扩容提升政策。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老人需求+子女决策双主体问卷。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S6，银发经济报告；S4，康复护理扩容提升政策。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