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164. “银发助餐，暖胃更暖心”——老年助餐点服务需求与补贴机制满意度研究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研究对象：60+老人及家属（使用社区助餐）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核心问题/变量：助餐频次、菜单适配（低盐低糖）、价格与补贴感知、送餐需求、满意度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H1：助餐频次、菜单适配（低盐低糖）（满意度）之间存在可检验的关系，且受群体差异（年龄/收入/地区/身份）调节（待验证）；H2：助餐频次、菜单适配（低盐低糖）是影响满意度的关键因素（待验证）。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✅截至2026年6月底全国8.2万家老年助餐点、日均服务超400万人次；✅民政部等推动老年助餐服务（政策背景）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社区助餐点/居家养老服务站渠道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✅截至2026年6月底全国8.2万家老年助餐点、日均服务超400万人次；✅民政部等推动老年助餐服务（政策背景）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