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188. “银发电竞，不服老”——老年人电竞参与动机与数字文体消费研究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建议地区：杭州（可按省/市细化抽样框）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研究对象：60+对电子游戏/电竞感兴趣的老年人及其家属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核心问题/变量：参与动机（圆梦/社交/防衰）、游戏类型偏好、培训需求、家庭支持、消费意愿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H1：参与动机（圆梦/社交/防衰）、游戏类型偏好显著影响消费意愿（待验证）；H2：不同人群（年龄/收入/城市等级）在上述关系中存在调节作用（待验证）。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成都BSG银龄战队平均年龄65岁、主玩《英雄联盟》、首届亚洲老年电竞杯计划成都举行；✅杭州滨江"银发电竞班"招募3天近150名老人报名、学员平均超55岁、冠军队伍平均61岁；✅杭州银龄战队参加第二届亚奥电子体育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银发电竞班/社区活动中心渠道；议题独特吸睛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成都BSG银龄战队平均年龄65岁、主玩《英雄联盟》、首届亚洲老年电竞杯计划成都举行；✅杭州滨江"银发电竞班"招募3天近150名老人报名、学员平均超55岁、冠军队伍平均61岁；✅杭州银龄战队参加第二届亚奥电子体育周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