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189. “康养旅居，候鸟人生”——银发康养旅居目的地选择与支付意愿研究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建议地区：沈阳（可按省/市细化抽样框）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研究对象：60+老人及子女（参与或关注康养旅居）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核心问题/变量：旅居动机（气候/康养/文化）、目的地偏好（森林/温泉/海岛）、时长与预算、信息渠道、满意度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H1：旅居动机（气候/康养/文化）、目的地偏好（森林/温泉/海岛）显著影响满意度（待验证）；H2：不同人群（年龄/收入/城市等级）在上述关系中存在调节作用（待验证）。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✅康养旅居消费超2万亿元、占银发经济近20%、年增15%—20%（高于传统旅游）；✅黑龙江铁力森林旅居康养、广东江门五天四夜康养路线、沈阳"盛情康养"平台落地25城；✅各地打造"适老型旅游场景"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康养旅居机构/旅行社银发团渠道；与89题（银发旅游）区分：聚焦长期旅居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✅康养旅居消费超2万亿元、占银发经济近20%、年增15%—20%（高于传统旅游）；✅黑龙江铁力森林旅居康养、广东江门五天四夜康养路线、沈阳"盛情康养"平台落地25城；✅各地打造"适老型旅游场景"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