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191. “直播'围猎'银发族”——私域直播面向老人的营销乱象与防诈素养研究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研究对象：有网络购物/看直播习惯的 55+ 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核心问题/变量：私域直播接触、营销话术识别（食疗治病/祖传秘方）、受骗经历、举报意愿、平台信任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H1：私域直播接触、营销话术识别（食疗治病/祖传秘方）显著影响平台信任（待验证）；H2：不同人群（年龄/收入/城市等级）在上述关系中存在调节作用（待验证）。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✅《直播电商监督管理办法》（2026年施行）首次将私域直播纳入监管、要求保存直播回放与交易记录不少于三年；✅市监总局九起典型案例揭示"私域直播围猎"套路；✅银发防诈教育（12315举报提示）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社区反诈宣传渠道+线上问卷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✅《直播电商监督管理办法》（2026年施行）首次将私域直播纳入监管、要求保存直播回放与交易记录不少于三年；✅市监总局九起典型案例揭示"私域直播围猎"套路；✅银发防诈教育（12315举报提示）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