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237. “夕阳写真，留住年华”——中老年写真、纪念照消费研究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研究对象：60+丧偶/离异老人及其子女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核心问题/变量：再婚意愿、婚介平台接触、信任顾虑（婚托/收费陷阱）、服务需求、权益保护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H1：再婚意愿、婚介平台接触（权益保护）之间存在可检验的关系，且受群体差异（年龄/收入/地区/身份）调节（待验证）；H2：再婚意愿、婚介平台接触是影响权益保护的关键因素（待验证）。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✅超8成丧偶老人有再婚意愿；✅2025年婚恋服务市场规模突破千亿元、实体婚介约占四成、年复合增速超12%（🔶行业数据）；🔶银发相亲防骗提示（媒体）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相亲角现场+社区老年活动中心；与187题（再就业）区分：聚焦婚恋服务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✅超8成丧偶老人有再婚意愿；✅2025年婚恋服务市场规模突破千亿元、实体婚介约占四成、年复合增速超12%（🔶行业数据）；🔶银发相亲防骗提示（媒体）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