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240. “银发手机，大屏大字”——适老化手机、数字终端消费需求研究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建议地区：西安（可按省/市细化抽样框）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研究对象：60+老人及为其购机的子女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核心问题/变量：使用痛点（字号/操作/诈骗）、适老化功能期望（大字体/一键拨号/远程协助）、品牌选择、价格接受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H1：使用痛点（字号/操作/诈骗）、适老化功能期望（大字体/一键拨号/远程协助）显著影响价格接受（待验证）；H2：不同人群（年龄/收入/城市等级）在上述关系中存在调节作用（待验证）。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✅82.9%中老年网民互联网使用存在障碍（70+为87.9%，第二批已核验）；✅工信部适老化无障碍改造（工信部政策）；✅银发经济10万亿大盘（2026年）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手机卖场适老专区/社区渠道；与13题（适老空间）、97题（AI眼镜）区分：聚焦数字终端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✅82.9%中老年网民互联网使用存在障碍（70+为87.9%，第二批已核验）；✅工信部适老化无障碍改造（工信部政策）；✅银发经济10万亿大盘（2026年）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