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244. “子女代买单，银发钱包”——数字时代“亲情代付”（子女远程帮父母支付）行为研究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研究对象：18—35岁使用花呗/白条/先用后付的用户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核心问题/变量：使用频次、消费用途、额度依赖、还款压力感知、理性消费观、逾期经历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H1：使用频次、消费用途显著影响逾期经历（待验证）；H2：不同人群（年龄/收入/城市等级）在上述关系中存在调节作用（待验证）。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🔶信用支付渗透率（蚂蚁/京东平台数据需核验）；✅小额贷款行业：2025年末全国小贷余额8942亿元、头部10%机构占65%份额、平均不良率2.8%（行业背景）；✅消费金融监管趋严（金融监管总局政策背景）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校园+职场青年线上问卷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🔶信用支付渗透率（蚂蚁/京东平台数据需核验）；✅小额贷款行业：2025年末全国小贷余额8942亿元、头部10%机构占65%份额、平均不良率2.8%（行业背景）；✅消费金融监管趋严（金融监管总局政策背景）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