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245. “养老金融，银发理财”——中老年人群养老金融产品（储蓄、保险、信托）消费意愿研究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研究对象：45—70岁有储蓄理财习惯人群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核心问题/变量：养老金融认知、风险偏好、产品偏好（低风险储蓄/保险）、"以房养老"/信托接受度、防骗意识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H1：养老金融认知、风险偏好（防骗意识）之间存在可检验的关系，且受群体差异（年龄/收入/地区/身份）调节（待验证）；H2：养老金融认知、风险偏好是影响防骗意识的关键因素（待验证）。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✅上海金融监管局等4部门2026年6月《关于创新开展养老服务信托试点的通知》、养老服务信托创新试点启动（山东省发改委）；✅个人养老金产品池扩容；✅银发经济2026年预计10.8万亿元（央广网）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银行理财渠道+社区老年群体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✅上海金融监管局等4部门2026年6月《关于创新开展养老服务信托试点的通知》、养老服务信托创新试点启动（山东省发改委）；✅个人养老金产品池扩容；✅银发经济2026年预计10.8万亿元（央广网）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