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290. “银发KOL，夕阳红火”——银发网红、老年短视频创作者经济研究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研究对象：关注银发博主或自己拍短视频的 55+ 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核心问题/变量：观看偏好（生活/搞笑/养生）、创作意愿、变现认知（带货/打赏）、代际形象感知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H1：观看偏好（生活/搞笑/养生）、创作意愿显著影响代际形象感知（待验证）；H2：不同人群（年龄/收入/城市等级）在上述关系中存在调节作用（待验证）。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🔶银发KOL现象（媒体多次报道）；✅银发人群触网率提升（第50次《中国互联网络发展状况统计报告》：60+网民占比上升🔶）；✅老年网民使用障碍82.9%（第二批已核验）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短视频平台银发用户渠道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🔶银发KOL现象（媒体多次报道）；✅银发人群触网率提升（第50次《中国互联网络发展状况统计报告》：60+网民占比上升🔶）；✅老年网民使用障碍82.9%（第二批已核验）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