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291. “银发网课，老有所学新课堂”——老年开放大学、线上老年教育参与研究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研究对象：在学或想报老年大学/老年兴趣班的 55+ 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核心问题/变量：学习动机（社交/圆梦/防衰）、课程偏好（书画/声乐/手机）、报名难度、费用接受、满意度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H1：学习动机（社交/圆梦/防衰）、课程偏好（书画/声乐/手机）显著影响满意度（待验证）；H2：不同人群（年龄/收入/城市等级）在上述关系中存在调节作用（待验证）。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🔶老年大学"一座难求"（央视等媒体多次报道，需引原文）；✅教育部老年教育政策（背景）；✅银发经济10万亿大盘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老年大学/社区老年学校渠道；与291题（KOL用户端）区分：聚焦线下学习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🔶老年大学"一座难求"（央视等媒体多次报道，需引原文）；✅教育部老年教育政策（背景）；✅银发经济10万亿大盘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