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316. “AI 换脸骗局，银发如何防”——老年人AI换脸、拟声诈骗风险认知研究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研究对象：60+老人及子女（涉网络使用）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核心问题/变量：AI诈骗知晓（换脸/拟声冒充亲友）、识别能力、遭遇经历、防诈教育需求、子女协助频率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H1：AI诈骗知晓（换脸/拟声冒充亲友）、识别能力显著影响子女协助频率（待验证）；H2：不同人群（年龄/收入/城市等级）在上述关系中存在调节作用（待验证）。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✅2026年AI换脸、拟声冒充亲友诈骗为重点打击对象；✅各地"敬老月"反诈教育：不点陌生链接、不泄露验证码；✅"医保卡停用/中奖"短信均为诈骗（12333核实）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社区反诈课堂/老年大学渠道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✅2026年AI换脸、拟声冒充亲友诈骗为重点打击对象；✅各地"敬老月"反诈教育：不点陌生链接、不泄露验证码；✅"医保卡停用/中奖"短信均为诈骗（12333核实）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