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329. “大字版，银发友好”——互联网应用适老化改造（大字版、长辈模式）使用评价研究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建议地区：社区（可按省/市细化抽样框）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确定行业：01_银发经济（选择理由：贴合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研究对象：使用长辈模式/大字版的 50+ 用户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核心问题/变量：改造知晓（长辈模式入口）、使用体验（字体/简化功能）、替代障碍、剩余痛点、改进建议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H1：改造知晓（长辈模式入口）、使用体验（字体/简化功能）显著影响改进建议（待验证）；H2：不同人群（年龄/收入/城市等级）在上述关系中存在调节作用（待验证）。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✅工信部2021年起互联网应用适老化无障碍改造（政策）；✅主流App长辈模式（微信/支付宝/抖音案例）；✅82.9%中老年网民使用障碍（已核验）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老年大学/社区渠道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✅工信部2021年起互联网应用适老化无障碍改造（政策）；✅主流App长辈模式（微信/支付宝/抖音案例）；✅82.9%中老年网民使用障碍（已核验）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