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330. “数字人民币，银发好帮手”——数字人民币适老化（大字版、亲属代付）使用研究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研究对象：使用数字人民币的中老年人及代际家庭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核心问题/变量：数币认知、使用场景（消费/补贴）、适老功能评价（大字/语音/代付）、与现金对比、使用意愿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H1：数币认知、使用场景（消费/补贴）显著影响使用意愿（待验证）；H2：不同人群（年龄/收入/城市等级）在上述关系中存在调节作用（待验证）。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✅数字人民币个人钱包2.3亿个、累计交易16.7万亿元（第十轮证据）；✅数币2.0平衡计息（2026-01-01起）；✅各地试点适老红包/养老助餐场景（湖南/江苏数币案例，第九轮证据）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试点城市银行/社区渠道；与242题（数币2.0）区分：聚焦适老功能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✅数字人民币个人钱包2.3亿个、累计交易16.7万亿元（第十轮证据）；✅数币2.0平衡计息（2026-01-01起）；✅各地试点适老红包/养老助餐场景（湖南/江苏数币案例，第九轮证据）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