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341. “夕阳红也要美美的”——老年美妆、银发悦己消费行为研究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研究对象：60+有护肤/化妆/形象管理习惯的老年人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核心问题/变量：护肤品类（抗皱/美白）、化妆习惯、购买渠道（商场/直播/子女代购）、悦己动机、消费观转变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H1：护肤品类（抗皱/美白）、化妆习惯显著影响消费观转变（待验证）；H2：不同人群（年龄/收入/城市等级）在上述关系中存在调节作用（待验证）。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🔶银发美妆兴起（媒体/行业报告需核验）；✅化妆品市场破1.1万亿（国货57.37%，第九轮证据）；✅银发经济10万亿（央广网）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社区活动/老年大学舞蹈队渠道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🔶银发美妆兴起（媒体/行业报告需核验）；✅化妆品市场破1.1万亿（国货57.37%，第九轮证据）；✅银发经济10万亿（央广网）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