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343. “失能照护，谁来守护”——失能、半失能老人照护需求与长期护理保险研究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建议地区：社区（可按省/市细化抽样框）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确定行业：01_银发经济（选择理由：贴合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研究对象：家有失能/半失能老人的家庭（照护者）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核心问题/变量：失能状况、照护方式（家庭/机构/护工）、照护负担、长护险知晓与使用、支付意愿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H1：失能状况、照护方式（家庭/机构/护工）显著影响支付意愿（待验证）；H2：不同人群（年龄/收入/城市等级）在上述关系中存在调节作用（待验证）。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✅长护险试点扩面（国家医保局政策背景🔶文号待核）；✅全国失能老年人数据（民政部🔶）；✅养老服务体系"9073"格局（第五六轮证据）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社区居家养老站点/长护险定点机构渠道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✅长护险试点扩面（国家医保局政策背景🔶文号待核）；✅全国失能老年人数据（民政部🔶）；✅养老服务体系"9073"格局（第五六轮证据）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