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374. “医养结合，养老院里的中医”——中医康养进养老机构（医养结合）消费需求研究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建议地区：北京（可按省/市细化抽样框）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研究对象：入住医养结合/中医院合作养老机构的老人及家庭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核心问题/变量：入住动机、中医服务使用（艾灸/推拿/药膳）、费用承受（月费）、健康改善感知、满意度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入住动机、中医服务使用（艾灸/推拿/药膳）（满意度）之间存在可检验的关系，且受群体差异（年龄/收入/地区/身份）调节（待验证）；H2：入住动机、中医服务使用（艾灸/推拿/药膳）是影响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✅北京密云区中医医院2026年与3家养老机构合作：免费体检/艾灸推拿穴位贴敷/"一人一方"管理；✅广州、上海中医特色养老机构月费约4800—5100元起；✅"9073"养老格局与医养结合政策背景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养老机构/中医院渠道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✅北京密云区中医医院2026年与3家养老机构合作：免费体检/艾灸推拿穴位贴敷/"一人一方"管理；✅广州、上海中医特色养老机构月费约4800—5100元起；✅"9073"养老格局与医养结合政策背景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