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466. “银发族上抖音，越刷越上瘾”——银发人群短视频、直播观看消费研究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研究对象：日均刷短视频1小时+的 55+ 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核心问题/变量：观看时长、内容偏好（养生/戏曲/生活）、打赏与购物、沉迷与健康、子女干预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H1：观看时长、内容偏好（养生/戏曲/生活）显著影响子女干预（待验证）；H2：不同人群（年龄/收入/城市等级）在上述关系中存在调节作用（待验证）。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🔶银发网民触网率与时长（CNNIC报告需核验）；✅82.9%中老年网民使用障碍（第二批已核验）；✅适老化短视频App（341题衔接）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社区/老年大学渠道；与290题（银发KOL）区分：聚焦用户端行为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🔶银发网民触网率与时长（CNNIC报告需核验）；✅82.9%中老年网民使用障碍（第二批已核验）；✅适老化短视频App（341题衔接）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