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467. “银发旅游团，诗与远方”——老年旅游团、夕阳红旅行消费行为研究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研究对象：参加老年旅游团（或为父母报团的子女）的 55+ 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核心问题/变量：出行频次（邮轮/大巴/专列）、价格接受（低价团vs品质游）、购物店陷阱经历、社交友谊、满意度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出行频次（邮轮/大巴/专列）、价格接受（低价团vs品质游）（满意度）之间存在可检验的关系，且受群体差异（年龄/收入/地区/身份）调节（待验证）；H2：出行频次（邮轮/大巴/专列）、价格接受（低价团vs品质游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🔶老年旅游市场（中国旅游研究院《中国老年旅游发展报告》需下载）；✅银发经济10万亿（央广网）；✅文旅部整治"不合理低价游"（政策）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旅行社银发线/社区渠道；与89题（银发旅游）区分：聚焦团游模式与避坑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🔶老年旅游市场（中国旅游研究院《中国老年旅游发展报告》需下载）；✅银发经济10万亿（央广网）；✅文旅部整治"不合理低价游"（政策）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