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468. “老伴养只猫，银发陪伴”——老年人养宠陪伴消费研究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 岁以上养宠老人及其子女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核心问题/变量：养宠动机（情感陪伴/空巢缓解）、养宠类型与开销结构（宠物粮、医疗）、子女态度与代付、社区对养宠的包容、健康影响感知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H1：养宠动机（情感陪伴/空巢缓解）、养宠类型与开销结构（宠物粮显著影响健康影响感知（待验证）；H2：不同人群（年龄/收入/城市等级）在上述关系中存在调节作用（待验证）。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🔶银发养宠比例与消费数据（行业报告须下载核验）；✅宠物消费与银发经济政策（已有证据）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宠物医院/社区渠道问卷+子女访谈；与23（宠物养老=宠物变老）区分：聚焦老人养宠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🔶银发养宠比例与消费数据（行业报告须下载核验）；✅宠物消费与银发经济政策（已有证据）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