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469. “老有所学，琴棋书画”——老年兴趣班消费（书法、国画、智能手机）研究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研究对象：读过老年大学/社区兴趣班的 55+ 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核心问题/变量：课程偏好、学期费用、报名难度、师资评价、社交友谊、精神需求；与前批次291题（老年大学）区分：聚焦兴趣班细分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课程偏好、学期费用（与前批次291题（老年大学）区分：聚焦兴趣班细分）之间存在可检验的关系，且受群体差异（年龄/收入/地区/身份）调节（待验证）；H2：课程偏好、学期费用是影响与前批次291题（老年大学）区分：聚焦兴趣班细分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🔶老年大学"一座难求"（央视/媒体）；✅教育部老年教育政策（背景）；✅银发学习需求（已核验）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老年大学/社区学校渠道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🔶老年大学"一座难求"（央视/媒体）；✅教育部老年教育政策（背景）；✅银发学习需求（已核验）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