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470. “银发智能生活，玩转手机”——银发人群智能手机、App使用培训需求研究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确定行业：01_银发经济（选择理由：贴合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研究对象：学习使用智能手机的 55+ 人群（参加助老培训）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核心问题/变量：学习内容（支付/挂号/视频）、学习方式（子女/培训班）、障碍与成就感、防诈意识、持续学习意愿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H1：学习内容（支付/挂号/视频）、学习方式（子女/培训班）显著影响持续学习意愿（待验证）；H2：不同人群（年龄/收入/城市等级）在上述关系中存在调节作用（待验证）。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✅82.9%中老年网民使用障碍（已核验）；✅工信部App适老化改造（已核验）；🔶助老数字培训项目（各地实践需核验）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社区助老培训班/老年大学渠道；与321题（数字鸿沟）区分：聚焦培训解决方案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✅82.9%中老年网民使用障碍（已核验）；✅工信部App适老化改造（已核验）；🔶助老数字培训项目（各地实践需核验）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