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495. “银发求职，退而不休”——老年求职、银发就业平台使用意愿研究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建议地区：社区（可按省/市细化抽样框）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研究对象：有再就业意愿的退休人员/超龄劳动者及用工企业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核心问题/变量：再就业动机（收入/价值感）、求职渠道（银发招聘平台/返聘）、岗位类型、年龄歧视感知、权益保障知晓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再就业动机（收入/价值感）、求职渠道（银发招聘平台/返聘）（权益保障知晓）之间存在可检验的关系，且受群体差异（年龄/收入/地区/身份）调节（待验证）；H2：再就业动机（收入/价值感）、求职渠道（银发招聘平台/返聘）是影响权益保障知晓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✅《超龄劳动者权益保障暂行规定》等（第八轮证据）；✅人社部银发招聘活动（媒体🔶）；✅延迟退休政策实施（背景）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银发招聘会/社区就业渠道；与187题（银发再就业）区分：聚焦平台与岗位匹配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✅《超龄劳动者权益保障暂行规定》等（第八轮证据）；✅人社部银发招聘活动（媒体🔶）；✅延迟退休政策实施（背景）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