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524. “银发跑者，健康完赛”——中老年马拉松、健步走赛事参与研究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确定行业：01_银发经济（选择理由：贴合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研究对象：参加马拉松/健步走等路跑赛事的中老年跑者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核心问题/变量：参赛动机（健康/社交/圆梦）、训练与装备支出、赛事适老服务评价（配速、医疗保障）、健康风险认知、复赛意愿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参赛动机（健康/社交/圆梦）、训练与装备支出（复赛意愿）之间存在可检验的关系，且受群体差异（年龄/收入/地区/身份）调节（待验证）；H2：参赛动机（健康/社交/圆梦）、训练与装备支出是影响复赛意愿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✅马拉松赛事管理规范（中国田协文件）；🔶中老年跑者参与数据（赛事报告须下载核验）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赛事现场/跑团问卷+组委会访谈；与085（银发健身）区分：聚焦赛事场景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✅马拉松赛事管理规范（中国田协文件）；🔶中老年跑者参与数据（赛事报告须下载核验）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