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527. “银发艺术团，登台有掌声”——老年艺术团体商演、文艺展演消费研究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研究对象：参加社区/老年艺术团（合唱、舞蹈、模特队）的老年人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核心问题/变量：艺术团参与动机、排练与演出支出（服装/化妆/道具）、商演/展演机会、子女支持度、舞台获得感与身心健康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艺术团参与动机、排练与演出支出（服装/化妆/道具）（舞台获得感与身心健康）之间存在可检验的关系，且受群体差异（年龄/收入/地区/身份）调节（待验证）；H2：艺术团参与动机、排练与演出支出（服装/化妆/道具）是影响舞台获得感与身心健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🔶老年艺术展演活动报道（媒体须下载核验）；✅老年文化服务政策（文旅部、老龄办）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艺术团/社区渠道问卷+团长访谈；与468（广场舞-已清理）区分：聚焦登台演出形态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🔶老年艺术展演活动报道（媒体须下载核验）；✅老年文化服务政策（文旅部、老龄办）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